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63600B" w:rsidRDefault="00D35A9F" w:rsidP="00D35A9F">
      <w:pPr>
        <w:jc w:val="center"/>
        <w:rPr>
          <w:b/>
          <w:i/>
        </w:rPr>
      </w:pPr>
      <w:r w:rsidRPr="0063600B">
        <w:rPr>
          <w:b/>
          <w:i/>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63600B" w:rsidRDefault="00D35A9F" w:rsidP="00D35A9F">
      <w:pPr>
        <w:jc w:val="center"/>
        <w:rPr>
          <w:i/>
        </w:rPr>
      </w:pPr>
      <w:r w:rsidRPr="0063600B">
        <w:rPr>
          <w:i/>
        </w:rPr>
        <w:t>(відповідно до пункту 4</w:t>
      </w:r>
      <w:r w:rsidRPr="0063600B">
        <w:rPr>
          <w:i/>
          <w:vertAlign w:val="superscript"/>
        </w:rPr>
        <w:t xml:space="preserve">1 </w:t>
      </w:r>
      <w:r w:rsidRPr="0063600B">
        <w:rPr>
          <w:i/>
        </w:rPr>
        <w:t xml:space="preserve">постанови КМУ від 11.10.2016 № 710 </w:t>
      </w:r>
    </w:p>
    <w:p w14:paraId="4BD96C04" w14:textId="0AF50C0C" w:rsidR="00D35A9F" w:rsidRPr="0063600B" w:rsidRDefault="00D35A9F" w:rsidP="00D35A9F">
      <w:pPr>
        <w:jc w:val="center"/>
        <w:rPr>
          <w:i/>
        </w:rPr>
      </w:pPr>
      <w:r w:rsidRPr="0063600B">
        <w:rPr>
          <w:i/>
        </w:rPr>
        <w:t xml:space="preserve">«Про ефективне використання державних коштів» (зі </w:t>
      </w:r>
      <w:r w:rsidR="00D81CE7" w:rsidRPr="0063600B">
        <w:rPr>
          <w:i/>
        </w:rPr>
        <w:t>змінами)</w:t>
      </w:r>
    </w:p>
    <w:p w14:paraId="245FD181" w14:textId="77777777" w:rsidR="00D81CE7" w:rsidRPr="0063600B" w:rsidRDefault="00D81CE7" w:rsidP="00D35A9F">
      <w:pPr>
        <w:jc w:val="center"/>
        <w:rPr>
          <w:i/>
        </w:rPr>
      </w:pPr>
    </w:p>
    <w:p w14:paraId="0EDC8CBD" w14:textId="77777777" w:rsidR="00D51227" w:rsidRDefault="00D35A9F" w:rsidP="00D51227">
      <w:pPr>
        <w:numPr>
          <w:ilvl w:val="0"/>
          <w:numId w:val="3"/>
        </w:numPr>
        <w:jc w:val="both"/>
        <w:rPr>
          <w:i/>
        </w:rPr>
      </w:pPr>
      <w:r w:rsidRPr="0063600B">
        <w:rPr>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1339D089" w14:textId="3E0FF11F" w:rsidR="00D35A9F" w:rsidRPr="00D51227" w:rsidRDefault="00D052CA" w:rsidP="00D51227">
      <w:pPr>
        <w:ind w:left="786"/>
        <w:jc w:val="both"/>
        <w:rPr>
          <w:i/>
        </w:rPr>
      </w:pPr>
      <w:r w:rsidRPr="00D51227">
        <w:rPr>
          <w:i/>
        </w:rPr>
        <w:t>Вінницьке вище професійне училище Департаменту поліції охорони; вул. Генерала Арабея</w:t>
      </w:r>
      <w:r w:rsidR="00D35A9F" w:rsidRPr="00D51227">
        <w:rPr>
          <w:i/>
        </w:rPr>
        <w:t>,</w:t>
      </w:r>
      <w:r w:rsidRPr="00D51227">
        <w:rPr>
          <w:i/>
        </w:rPr>
        <w:t xml:space="preserve"> 11,  м. Вінниця, 21020</w:t>
      </w:r>
      <w:r w:rsidR="00D35A9F" w:rsidRPr="00D51227">
        <w:rPr>
          <w:i/>
        </w:rPr>
        <w:t>; код за ЄДРПОУ —</w:t>
      </w:r>
      <w:r w:rsidRPr="00D51227">
        <w:rPr>
          <w:i/>
        </w:rPr>
        <w:t xml:space="preserve"> 08571794</w:t>
      </w:r>
      <w:r w:rsidR="00D35A9F" w:rsidRPr="00D51227">
        <w:rPr>
          <w:i/>
        </w:rPr>
        <w:t>; категорія замовника —</w:t>
      </w:r>
      <w:r w:rsidRPr="00D51227">
        <w:rPr>
          <w:i/>
        </w:rPr>
        <w:t xml:space="preserve"> правоохоронні органи</w:t>
      </w:r>
      <w:r w:rsidR="00D35A9F" w:rsidRPr="00D51227">
        <w:rPr>
          <w:i/>
        </w:rPr>
        <w:t>.</w:t>
      </w:r>
    </w:p>
    <w:p w14:paraId="7E66A6B2" w14:textId="4623E56A" w:rsidR="00B03831" w:rsidRPr="00D51227" w:rsidRDefault="00D35A9F" w:rsidP="002D6BBE">
      <w:pPr>
        <w:pStyle w:val="a7"/>
        <w:numPr>
          <w:ilvl w:val="0"/>
          <w:numId w:val="3"/>
        </w:numPr>
        <w:shd w:val="clear" w:color="auto" w:fill="FFFFFF"/>
        <w:jc w:val="both"/>
        <w:rPr>
          <w:i/>
          <w:color w:val="000000"/>
          <w:lang w:eastAsia="uk-UA"/>
        </w:rPr>
      </w:pPr>
      <w:r w:rsidRPr="0063600B">
        <w:rPr>
          <w:b/>
          <w:i/>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63600B">
        <w:rPr>
          <w:b/>
          <w:i/>
        </w:rPr>
        <w:t>упівлі (лотів) (за наявності</w:t>
      </w:r>
      <w:r w:rsidR="002D6BBE" w:rsidRPr="00D51227">
        <w:rPr>
          <w:b/>
          <w:i/>
        </w:rPr>
        <w:t xml:space="preserve">): </w:t>
      </w:r>
      <w:r w:rsidR="00D51227" w:rsidRPr="00D51227">
        <w:rPr>
          <w:bCs/>
          <w:i/>
        </w:rPr>
        <w:t xml:space="preserve">Послуги – відповідно до коду </w:t>
      </w:r>
      <w:r w:rsidR="00D51227" w:rsidRPr="00D51227">
        <w:rPr>
          <w:b/>
          <w:bCs/>
          <w:i/>
        </w:rPr>
        <w:t>5011</w:t>
      </w:r>
      <w:r w:rsidR="00D51227" w:rsidRPr="00D51227">
        <w:rPr>
          <w:bCs/>
          <w:i/>
        </w:rPr>
        <w:t>0000-9 «Послуги з ремонту і технічного обслуговування мототранспортних засобів і супутнього обладнання» (</w:t>
      </w:r>
      <w:r w:rsidR="00D51227" w:rsidRPr="00D51227">
        <w:rPr>
          <w:i/>
          <w:iCs/>
        </w:rPr>
        <w:t xml:space="preserve">послуги з технічного обслуговування та ремонту службових автомобілів). </w:t>
      </w:r>
    </w:p>
    <w:p w14:paraId="214A285C" w14:textId="3F03B527" w:rsidR="00D81CE7" w:rsidRPr="0063600B" w:rsidRDefault="00D81CE7" w:rsidP="00B03831">
      <w:pPr>
        <w:pStyle w:val="a7"/>
        <w:numPr>
          <w:ilvl w:val="0"/>
          <w:numId w:val="3"/>
        </w:numPr>
        <w:shd w:val="clear" w:color="auto" w:fill="FFFFFF"/>
        <w:jc w:val="both"/>
        <w:rPr>
          <w:i/>
          <w:color w:val="000000"/>
          <w:lang w:eastAsia="uk-UA"/>
        </w:rPr>
      </w:pPr>
      <w:r w:rsidRPr="0063600B">
        <w:rPr>
          <w:b/>
          <w:i/>
        </w:rPr>
        <w:t>Кількість (обсяг) закупівлі:</w:t>
      </w:r>
      <w:r w:rsidR="005807F8">
        <w:rPr>
          <w:i/>
          <w:color w:val="000000"/>
          <w:lang w:eastAsia="uk-UA"/>
        </w:rPr>
        <w:t xml:space="preserve"> 1</w:t>
      </w:r>
      <w:r w:rsidR="00D51227">
        <w:rPr>
          <w:i/>
          <w:color w:val="000000"/>
          <w:lang w:eastAsia="uk-UA"/>
        </w:rPr>
        <w:t xml:space="preserve"> послуг</w:t>
      </w:r>
      <w:r w:rsidR="005807F8">
        <w:rPr>
          <w:i/>
          <w:color w:val="000000"/>
          <w:lang w:eastAsia="uk-UA"/>
        </w:rPr>
        <w:t>а</w:t>
      </w:r>
      <w:bookmarkStart w:id="0" w:name="_GoBack"/>
      <w:bookmarkEnd w:id="0"/>
    </w:p>
    <w:p w14:paraId="6B6253F6" w14:textId="7DA51CE2" w:rsidR="00B03831" w:rsidRPr="0063600B" w:rsidRDefault="0046419A" w:rsidP="00B03831">
      <w:pPr>
        <w:pStyle w:val="a7"/>
        <w:numPr>
          <w:ilvl w:val="0"/>
          <w:numId w:val="3"/>
        </w:numPr>
        <w:shd w:val="clear" w:color="auto" w:fill="FFFFFF"/>
        <w:jc w:val="both"/>
        <w:rPr>
          <w:color w:val="000000"/>
          <w:lang w:eastAsia="uk-UA"/>
        </w:rPr>
      </w:pPr>
      <w:r>
        <w:rPr>
          <w:b/>
          <w:i/>
        </w:rPr>
        <w:t xml:space="preserve">Ідентифікатор </w:t>
      </w:r>
      <w:r w:rsidR="00D35A9F" w:rsidRPr="0063600B">
        <w:rPr>
          <w:b/>
          <w:i/>
        </w:rPr>
        <w:t xml:space="preserve">закупівлі: </w:t>
      </w:r>
      <w:hyperlink r:id="rId7" w:tgtFrame="_blank" w:history="1">
        <w:r w:rsidR="003876FC" w:rsidRPr="003876FC">
          <w:rPr>
            <w:rStyle w:val="a8"/>
            <w:color w:val="auto"/>
            <w:shd w:val="clear" w:color="auto" w:fill="FFFFFF"/>
          </w:rPr>
          <w:t>UA-2024-01-23-004276-a</w:t>
        </w:r>
      </w:hyperlink>
    </w:p>
    <w:p w14:paraId="35AAFC41" w14:textId="77777777" w:rsidR="00B03831" w:rsidRPr="00D51227" w:rsidRDefault="00D35A9F" w:rsidP="00B03831">
      <w:pPr>
        <w:pStyle w:val="a7"/>
        <w:numPr>
          <w:ilvl w:val="0"/>
          <w:numId w:val="3"/>
        </w:numPr>
        <w:shd w:val="clear" w:color="auto" w:fill="FFFFFF"/>
        <w:jc w:val="both"/>
        <w:rPr>
          <w:color w:val="000000"/>
          <w:lang w:eastAsia="uk-UA"/>
        </w:rPr>
      </w:pPr>
      <w:r w:rsidRPr="0063600B">
        <w:rPr>
          <w:b/>
          <w:i/>
        </w:rPr>
        <w:t>Обґрунтування технічних та якісних характеристик предмета закупівлі:</w:t>
      </w:r>
      <w:r w:rsidRPr="0063600B">
        <w:rPr>
          <w:i/>
        </w:rPr>
        <w:t xml:space="preserve"> </w:t>
      </w:r>
    </w:p>
    <w:p w14:paraId="3860416A" w14:textId="3E927445" w:rsidR="00D51227" w:rsidRPr="00D51227" w:rsidRDefault="00D51227" w:rsidP="00D51227">
      <w:pPr>
        <w:pStyle w:val="a7"/>
        <w:tabs>
          <w:tab w:val="left" w:pos="360"/>
        </w:tabs>
        <w:ind w:left="786"/>
        <w:jc w:val="both"/>
        <w:rPr>
          <w:i/>
          <w:lang w:eastAsia="zh-CN"/>
        </w:rPr>
      </w:pPr>
      <w:r w:rsidRPr="00D51227">
        <w:rPr>
          <w:i/>
          <w:lang w:eastAsia="zh-CN"/>
        </w:rPr>
        <w:t xml:space="preserve">Учасник повинен надавати Послуги якісно та у визначений Сторонами строк на підставі заявки замовника з оформленням необхідної документації у відповідності до вимог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 № 615  «Положення про технічне обслуговування і ремонт дорожніх транспортних засобів автомобільного транспорту» та зареєстрованих в Міністерстві юстиції </w:t>
      </w:r>
      <w:r>
        <w:rPr>
          <w:i/>
          <w:lang w:eastAsia="zh-CN"/>
        </w:rPr>
        <w:t xml:space="preserve">України від 17.12.2014 </w:t>
      </w:r>
      <w:r w:rsidRPr="00D51227">
        <w:rPr>
          <w:i/>
          <w:lang w:eastAsia="zh-CN"/>
        </w:rPr>
        <w:t>№ 1609/26386  та інструкціям заводів - виробників транспортних засобів.</w:t>
      </w:r>
    </w:p>
    <w:p w14:paraId="0B683D97" w14:textId="77777777" w:rsidR="00D51227" w:rsidRDefault="00D35A9F" w:rsidP="00D51227">
      <w:pPr>
        <w:numPr>
          <w:ilvl w:val="0"/>
          <w:numId w:val="3"/>
        </w:numPr>
        <w:jc w:val="both"/>
        <w:rPr>
          <w:b/>
          <w:i/>
        </w:rPr>
      </w:pPr>
      <w:r w:rsidRPr="0063600B">
        <w:rPr>
          <w:b/>
          <w:i/>
        </w:rPr>
        <w:t xml:space="preserve">Обґрунтування розміру бюджетного призначення: </w:t>
      </w:r>
    </w:p>
    <w:p w14:paraId="7227E1C2" w14:textId="7EA5ED6D" w:rsidR="00D51227" w:rsidRDefault="00D51227" w:rsidP="00D51227">
      <w:pPr>
        <w:ind w:left="786"/>
        <w:jc w:val="both"/>
        <w:rPr>
          <w:b/>
          <w:i/>
        </w:rPr>
      </w:pPr>
      <w:r>
        <w:rPr>
          <w:i/>
        </w:rPr>
        <w:t>Б</w:t>
      </w:r>
      <w:r w:rsidR="00614DF4" w:rsidRPr="0063600B">
        <w:rPr>
          <w:i/>
        </w:rPr>
        <w:t>юджетне</w:t>
      </w:r>
      <w:r w:rsidR="00D35A9F" w:rsidRPr="0063600B">
        <w:rPr>
          <w:i/>
        </w:rPr>
        <w:t xml:space="preserve"> при</w:t>
      </w:r>
      <w:r w:rsidR="00614DF4" w:rsidRPr="0063600B">
        <w:rPr>
          <w:i/>
        </w:rPr>
        <w:t>значення відсутнє</w:t>
      </w:r>
      <w:r w:rsidR="00D35A9F" w:rsidRPr="0063600B">
        <w:rPr>
          <w:i/>
        </w:rPr>
        <w:t>.</w:t>
      </w:r>
      <w:r w:rsidR="003C6ADB" w:rsidRPr="0063600B">
        <w:rPr>
          <w:b/>
          <w:i/>
        </w:rPr>
        <w:t xml:space="preserve"> </w:t>
      </w:r>
      <w:r w:rsidR="00614DF4" w:rsidRPr="0063600B">
        <w:rPr>
          <w:i/>
        </w:rPr>
        <w:t>Державна установа (заклад)</w:t>
      </w:r>
      <w:r w:rsidR="004F3E29" w:rsidRPr="0063600B">
        <w:rPr>
          <w:i/>
        </w:rPr>
        <w:t xml:space="preserve"> утворена</w:t>
      </w:r>
      <w:r w:rsidR="00614DF4" w:rsidRPr="0063600B">
        <w:rPr>
          <w:i/>
        </w:rPr>
        <w:t xml:space="preserve"> на засадах </w:t>
      </w:r>
      <w:r w:rsidR="004F3E29" w:rsidRPr="0063600B">
        <w:rPr>
          <w:i/>
        </w:rPr>
        <w:t>госпрозрахунку і самофінансування.</w:t>
      </w:r>
      <w:r w:rsidR="00D35A9F" w:rsidRPr="0063600B">
        <w:rPr>
          <w:i/>
        </w:rPr>
        <w:t xml:space="preserve"> </w:t>
      </w:r>
    </w:p>
    <w:p w14:paraId="664186DA" w14:textId="7B9E9745" w:rsidR="00D51227" w:rsidRPr="00D51227" w:rsidRDefault="00D35A9F" w:rsidP="00D51227">
      <w:pPr>
        <w:numPr>
          <w:ilvl w:val="0"/>
          <w:numId w:val="3"/>
        </w:numPr>
        <w:jc w:val="both"/>
        <w:rPr>
          <w:i/>
        </w:rPr>
      </w:pPr>
      <w:r w:rsidRPr="00D51227">
        <w:rPr>
          <w:b/>
          <w:i/>
        </w:rPr>
        <w:t xml:space="preserve">Очікувана вартість предмета закупівлі: </w:t>
      </w:r>
      <w:r w:rsidR="005807F8">
        <w:rPr>
          <w:i/>
        </w:rPr>
        <w:t xml:space="preserve">200 000. 00 грн. (Двісті тисяч </w:t>
      </w:r>
      <w:r w:rsidR="00D51227" w:rsidRPr="00D51227">
        <w:rPr>
          <w:i/>
        </w:rPr>
        <w:t>гривень 00 коп.)</w:t>
      </w:r>
      <w:r w:rsidR="00D51227">
        <w:rPr>
          <w:i/>
        </w:rPr>
        <w:t>,</w:t>
      </w:r>
      <w:r w:rsidR="00D51227" w:rsidRPr="00D51227">
        <w:rPr>
          <w:i/>
        </w:rPr>
        <w:t xml:space="preserve"> з</w:t>
      </w:r>
      <w:r w:rsidR="005807F8">
        <w:rPr>
          <w:i/>
        </w:rPr>
        <w:t>/без</w:t>
      </w:r>
      <w:r w:rsidR="00D51227" w:rsidRPr="00D51227">
        <w:rPr>
          <w:i/>
        </w:rPr>
        <w:t xml:space="preserve"> ПДВ.</w:t>
      </w:r>
    </w:p>
    <w:p w14:paraId="04F9E2C2" w14:textId="77777777" w:rsidR="00D35A9F" w:rsidRPr="0063600B" w:rsidRDefault="00D35A9F" w:rsidP="00B03831">
      <w:pPr>
        <w:numPr>
          <w:ilvl w:val="0"/>
          <w:numId w:val="3"/>
        </w:numPr>
        <w:jc w:val="both"/>
        <w:rPr>
          <w:b/>
          <w:i/>
        </w:rPr>
      </w:pPr>
      <w:r w:rsidRPr="0063600B">
        <w:rPr>
          <w:b/>
          <w:i/>
        </w:rPr>
        <w:t>Обґрунтування очікуваної вартості предмета закупівлі:</w:t>
      </w:r>
    </w:p>
    <w:p w14:paraId="017CDE15" w14:textId="138356B5" w:rsidR="00D35A9F" w:rsidRPr="0063600B" w:rsidRDefault="00D35A9F" w:rsidP="003C6ADB">
      <w:pPr>
        <w:pStyle w:val="a7"/>
        <w:ind w:left="786"/>
        <w:jc w:val="both"/>
        <w:rPr>
          <w:i/>
        </w:rPr>
      </w:pPr>
      <w:r w:rsidRPr="0063600B">
        <w:rPr>
          <w:i/>
        </w:rPr>
        <w:t xml:space="preserve">Визначено відповідно до </w:t>
      </w:r>
      <w:r w:rsidR="004F3E29" w:rsidRPr="0063600B">
        <w:rPr>
          <w:i/>
        </w:rPr>
        <w:t>Примірної м</w:t>
      </w:r>
      <w:r w:rsidRPr="0063600B">
        <w:rPr>
          <w:i/>
        </w:rPr>
        <w:t>етодики визначення очікуваної ва</w:t>
      </w:r>
      <w:r w:rsidR="004F3E29" w:rsidRPr="0063600B">
        <w:rPr>
          <w:i/>
        </w:rPr>
        <w:t>ртості предмета закупівлі</w:t>
      </w:r>
      <w:r w:rsidRPr="0063600B">
        <w:rPr>
          <w:i/>
        </w:rPr>
        <w:t xml:space="preserve">, затвердженої наказом </w:t>
      </w:r>
      <w:r w:rsidR="004F3E29" w:rsidRPr="0063600B">
        <w:rPr>
          <w:i/>
        </w:rPr>
        <w:t xml:space="preserve">Міністерства розвитку економіки, торгівлі та сільського господарства </w:t>
      </w:r>
      <w:r w:rsidRPr="0063600B">
        <w:rPr>
          <w:i/>
        </w:rPr>
        <w:t xml:space="preserve">України від </w:t>
      </w:r>
      <w:r w:rsidR="004F3E29" w:rsidRPr="0063600B">
        <w:rPr>
          <w:rStyle w:val="rvts9"/>
          <w:i/>
        </w:rPr>
        <w:t>18.02.2020  № 275</w:t>
      </w:r>
      <w:r w:rsidR="004F3E29" w:rsidRPr="0063600B">
        <w:rPr>
          <w:rStyle w:val="rvts9"/>
        </w:rPr>
        <w:t xml:space="preserve"> </w:t>
      </w:r>
      <w:r w:rsidRPr="0063600B">
        <w:rPr>
          <w:i/>
        </w:rPr>
        <w:t xml:space="preserve"> (далі — Методика).</w:t>
      </w:r>
    </w:p>
    <w:p w14:paraId="48633030" w14:textId="30A216DA" w:rsidR="00D35A9F" w:rsidRPr="0063600B" w:rsidRDefault="00D35A9F" w:rsidP="003C6ADB">
      <w:pPr>
        <w:pStyle w:val="a7"/>
        <w:ind w:left="786"/>
        <w:jc w:val="both"/>
        <w:rPr>
          <w:i/>
        </w:rPr>
      </w:pPr>
      <w:r w:rsidRPr="0063600B">
        <w:rPr>
          <w:i/>
        </w:rPr>
        <w:t xml:space="preserve">Метод, застосований для розрахунку </w:t>
      </w:r>
      <w:r w:rsidR="004F3E29" w:rsidRPr="0063600B">
        <w:rPr>
          <w:i/>
        </w:rPr>
        <w:t xml:space="preserve">очікуваної вартості товарів, робіт та послуг відповідно до Методики: </w:t>
      </w:r>
      <w:r w:rsidR="004F3E29" w:rsidRPr="0063600B">
        <w:rPr>
          <w:rStyle w:val="rvts0"/>
          <w:i/>
        </w:rPr>
        <w:t>порівняння ринкових цін</w:t>
      </w:r>
      <w:r w:rsidRPr="0063600B">
        <w:rPr>
          <w:i/>
        </w:rPr>
        <w:t>.</w:t>
      </w:r>
    </w:p>
    <w:p w14:paraId="6967291A" w14:textId="77777777" w:rsidR="00C97BCF" w:rsidRPr="0063600B" w:rsidRDefault="00D35A9F" w:rsidP="003C6ADB">
      <w:pPr>
        <w:pStyle w:val="a7"/>
        <w:ind w:left="786"/>
        <w:jc w:val="both"/>
        <w:rPr>
          <w:i/>
        </w:rPr>
      </w:pPr>
      <w:r w:rsidRPr="0063600B">
        <w:rPr>
          <w:i/>
        </w:rPr>
        <w:t>Відповідно до Методики:</w:t>
      </w:r>
    </w:p>
    <w:p w14:paraId="7BADA12F" w14:textId="19A69255" w:rsidR="004F3E29" w:rsidRPr="0063600B" w:rsidRDefault="004F3E29" w:rsidP="002F51EB">
      <w:pPr>
        <w:pStyle w:val="a7"/>
        <w:numPr>
          <w:ilvl w:val="0"/>
          <w:numId w:val="4"/>
        </w:numPr>
        <w:jc w:val="both"/>
        <w:rPr>
          <w:i/>
        </w:rPr>
      </w:pPr>
      <w:r w:rsidRPr="0063600B">
        <w:rPr>
          <w:i/>
        </w:rPr>
        <w:t>Визначити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63600B" w:rsidRDefault="004F3E29" w:rsidP="00C97BCF">
      <w:pPr>
        <w:spacing w:before="100" w:beforeAutospacing="1" w:after="100" w:afterAutospacing="1"/>
        <w:jc w:val="center"/>
        <w:rPr>
          <w:i/>
        </w:rPr>
      </w:pPr>
      <w:bookmarkStart w:id="1" w:name="n60"/>
      <w:bookmarkEnd w:id="1"/>
      <w:r w:rsidRPr="0063600B">
        <w:rPr>
          <w:i/>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812"/>
        <w:gridCol w:w="160"/>
        <w:gridCol w:w="8040"/>
      </w:tblGrid>
      <w:tr w:rsidR="004F3E29" w:rsidRPr="0063600B" w14:paraId="2B06780B" w14:textId="77777777" w:rsidTr="004F3E29">
        <w:tc>
          <w:tcPr>
            <w:tcW w:w="345" w:type="dxa"/>
            <w:tcBorders>
              <w:top w:val="nil"/>
              <w:left w:val="nil"/>
              <w:bottom w:val="nil"/>
              <w:right w:val="nil"/>
            </w:tcBorders>
            <w:hideMark/>
          </w:tcPr>
          <w:p w14:paraId="519A06EC" w14:textId="77777777" w:rsidR="004F3E29" w:rsidRPr="0063600B" w:rsidRDefault="004F3E29" w:rsidP="00C97BCF">
            <w:pPr>
              <w:spacing w:before="100" w:beforeAutospacing="1" w:after="100" w:afterAutospacing="1"/>
              <w:jc w:val="center"/>
              <w:rPr>
                <w:i/>
              </w:rPr>
            </w:pPr>
            <w:bookmarkStart w:id="2" w:name="n61"/>
            <w:bookmarkEnd w:id="2"/>
            <w:r w:rsidRPr="0063600B">
              <w:rPr>
                <w:i/>
              </w:rPr>
              <w:t>де:</w:t>
            </w:r>
          </w:p>
        </w:tc>
        <w:tc>
          <w:tcPr>
            <w:tcW w:w="960" w:type="dxa"/>
            <w:tcBorders>
              <w:top w:val="nil"/>
              <w:left w:val="nil"/>
              <w:bottom w:val="nil"/>
              <w:right w:val="nil"/>
            </w:tcBorders>
            <w:hideMark/>
          </w:tcPr>
          <w:p w14:paraId="1D087A7B" w14:textId="77777777" w:rsidR="004F3E29" w:rsidRPr="0063600B" w:rsidRDefault="004F3E29" w:rsidP="00C97BCF">
            <w:pPr>
              <w:spacing w:before="100" w:beforeAutospacing="1" w:after="100" w:afterAutospacing="1"/>
              <w:jc w:val="center"/>
              <w:rPr>
                <w:i/>
              </w:rPr>
            </w:pPr>
            <w:r w:rsidRPr="0063600B">
              <w:rPr>
                <w:i/>
              </w:rPr>
              <w:t>Цод</w:t>
            </w:r>
          </w:p>
        </w:tc>
        <w:tc>
          <w:tcPr>
            <w:tcW w:w="180" w:type="dxa"/>
            <w:tcBorders>
              <w:top w:val="nil"/>
              <w:left w:val="nil"/>
              <w:bottom w:val="nil"/>
              <w:right w:val="nil"/>
            </w:tcBorders>
            <w:hideMark/>
          </w:tcPr>
          <w:p w14:paraId="694F85FD"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2AD43BCA" w14:textId="77777777" w:rsidR="004F3E29" w:rsidRPr="0063600B" w:rsidRDefault="004F3E29" w:rsidP="00C97BCF">
            <w:pPr>
              <w:spacing w:before="100" w:beforeAutospacing="1" w:after="100" w:afterAutospacing="1"/>
              <w:rPr>
                <w:i/>
              </w:rPr>
            </w:pPr>
            <w:r w:rsidRPr="0063600B">
              <w:rPr>
                <w:i/>
              </w:rPr>
              <w:t>очікувана ціна за одиницю;</w:t>
            </w:r>
          </w:p>
        </w:tc>
      </w:tr>
      <w:tr w:rsidR="004F3E29" w:rsidRPr="0063600B" w14:paraId="70601F77" w14:textId="77777777" w:rsidTr="004F3E29">
        <w:tc>
          <w:tcPr>
            <w:tcW w:w="345" w:type="dxa"/>
            <w:tcBorders>
              <w:top w:val="nil"/>
              <w:left w:val="nil"/>
              <w:bottom w:val="nil"/>
              <w:right w:val="nil"/>
            </w:tcBorders>
            <w:hideMark/>
          </w:tcPr>
          <w:p w14:paraId="323818A9" w14:textId="77777777" w:rsidR="004F3E29" w:rsidRPr="0063600B" w:rsidRDefault="004F3E29" w:rsidP="00C97BCF">
            <w:pPr>
              <w:spacing w:before="100" w:beforeAutospacing="1" w:after="100" w:afterAutospacing="1"/>
              <w:jc w:val="center"/>
              <w:rPr>
                <w:i/>
              </w:rPr>
            </w:pPr>
          </w:p>
        </w:tc>
        <w:tc>
          <w:tcPr>
            <w:tcW w:w="960" w:type="dxa"/>
            <w:tcBorders>
              <w:top w:val="nil"/>
              <w:left w:val="nil"/>
              <w:bottom w:val="nil"/>
              <w:right w:val="nil"/>
            </w:tcBorders>
            <w:hideMark/>
          </w:tcPr>
          <w:p w14:paraId="2D16DCFE" w14:textId="77777777" w:rsidR="004F3E29" w:rsidRPr="0063600B" w:rsidRDefault="004F3E29" w:rsidP="00C97BCF">
            <w:pPr>
              <w:spacing w:before="100" w:beforeAutospacing="1" w:after="100" w:afterAutospacing="1"/>
              <w:jc w:val="center"/>
              <w:rPr>
                <w:i/>
              </w:rPr>
            </w:pPr>
            <w:r w:rsidRPr="0063600B">
              <w:rPr>
                <w:i/>
              </w:rPr>
              <w:t>Ц1, Цк</w:t>
            </w:r>
          </w:p>
        </w:tc>
        <w:tc>
          <w:tcPr>
            <w:tcW w:w="180" w:type="dxa"/>
            <w:tcBorders>
              <w:top w:val="nil"/>
              <w:left w:val="nil"/>
              <w:bottom w:val="nil"/>
              <w:right w:val="nil"/>
            </w:tcBorders>
            <w:hideMark/>
          </w:tcPr>
          <w:p w14:paraId="6128CEB1"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758E5502" w14:textId="77777777" w:rsidR="004F3E29" w:rsidRPr="0063600B" w:rsidRDefault="004F3E29" w:rsidP="00C97BCF">
            <w:pPr>
              <w:spacing w:before="100" w:beforeAutospacing="1" w:after="100" w:afterAutospacing="1"/>
              <w:rPr>
                <w:i/>
              </w:rPr>
            </w:pPr>
            <w:r w:rsidRPr="0063600B">
              <w:rPr>
                <w:i/>
              </w:rPr>
              <w:t>ціни, отримані з відкритих джерел інформації, приведені до єдиних умов;</w:t>
            </w:r>
          </w:p>
        </w:tc>
      </w:tr>
      <w:tr w:rsidR="004F3E29" w:rsidRPr="0063600B" w14:paraId="295AD057" w14:textId="77777777" w:rsidTr="004F3E29">
        <w:tc>
          <w:tcPr>
            <w:tcW w:w="345" w:type="dxa"/>
            <w:tcBorders>
              <w:top w:val="nil"/>
              <w:left w:val="nil"/>
              <w:bottom w:val="nil"/>
              <w:right w:val="nil"/>
            </w:tcBorders>
            <w:hideMark/>
          </w:tcPr>
          <w:p w14:paraId="32A40E3E" w14:textId="77777777" w:rsidR="004F3E29" w:rsidRPr="0063600B" w:rsidRDefault="004F3E29" w:rsidP="00C97BCF">
            <w:pPr>
              <w:spacing w:before="100" w:beforeAutospacing="1" w:after="100" w:afterAutospacing="1"/>
              <w:jc w:val="center"/>
              <w:rPr>
                <w:i/>
              </w:rPr>
            </w:pPr>
          </w:p>
        </w:tc>
        <w:tc>
          <w:tcPr>
            <w:tcW w:w="960" w:type="dxa"/>
            <w:tcBorders>
              <w:top w:val="nil"/>
              <w:left w:val="nil"/>
              <w:bottom w:val="nil"/>
              <w:right w:val="nil"/>
            </w:tcBorders>
            <w:hideMark/>
          </w:tcPr>
          <w:p w14:paraId="5AC33DA8" w14:textId="77777777" w:rsidR="004F3E29" w:rsidRPr="0063600B" w:rsidRDefault="004F3E29" w:rsidP="00C97BCF">
            <w:pPr>
              <w:spacing w:before="100" w:beforeAutospacing="1" w:after="100" w:afterAutospacing="1"/>
              <w:jc w:val="center"/>
              <w:rPr>
                <w:i/>
              </w:rPr>
            </w:pPr>
            <w:r w:rsidRPr="0063600B">
              <w:rPr>
                <w:i/>
              </w:rPr>
              <w:t>К</w:t>
            </w:r>
          </w:p>
        </w:tc>
        <w:tc>
          <w:tcPr>
            <w:tcW w:w="180" w:type="dxa"/>
            <w:tcBorders>
              <w:top w:val="nil"/>
              <w:left w:val="nil"/>
              <w:bottom w:val="nil"/>
              <w:right w:val="nil"/>
            </w:tcBorders>
            <w:hideMark/>
          </w:tcPr>
          <w:p w14:paraId="0F214DC5"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0BB13C16" w14:textId="77777777" w:rsidR="004F3E29" w:rsidRPr="0063600B" w:rsidRDefault="004F3E29" w:rsidP="00C97BCF">
            <w:pPr>
              <w:spacing w:before="100" w:beforeAutospacing="1" w:after="100" w:afterAutospacing="1"/>
              <w:rPr>
                <w:i/>
              </w:rPr>
            </w:pPr>
            <w:r w:rsidRPr="0063600B">
              <w:rPr>
                <w:i/>
              </w:rPr>
              <w:t>кількість цін, отриманих з відкритих джерел інформації;</w:t>
            </w:r>
          </w:p>
        </w:tc>
      </w:tr>
    </w:tbl>
    <w:p w14:paraId="1BF763DD" w14:textId="319449DD" w:rsidR="004F3E29" w:rsidRPr="0063600B" w:rsidRDefault="004F3E29" w:rsidP="00C97BCF">
      <w:pPr>
        <w:spacing w:before="100" w:beforeAutospacing="1" w:after="100" w:afterAutospacing="1"/>
        <w:jc w:val="center"/>
        <w:rPr>
          <w:i/>
        </w:rPr>
      </w:pPr>
      <w:bookmarkStart w:id="3" w:name="n62"/>
      <w:bookmarkEnd w:id="3"/>
      <w:r w:rsidRPr="0063600B">
        <w:rPr>
          <w:i/>
        </w:rPr>
        <w:lastRenderedPageBreak/>
        <w:t>2)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63600B" w:rsidRDefault="004F3E29" w:rsidP="00C97BCF">
      <w:pPr>
        <w:spacing w:before="100" w:beforeAutospacing="1" w:after="100" w:afterAutospacing="1"/>
        <w:jc w:val="center"/>
        <w:rPr>
          <w:i/>
        </w:rPr>
      </w:pPr>
      <w:bookmarkStart w:id="4" w:name="n63"/>
      <w:bookmarkEnd w:id="4"/>
      <w:r w:rsidRPr="0063600B">
        <w:rPr>
          <w:i/>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42"/>
        <w:gridCol w:w="892"/>
        <w:gridCol w:w="110"/>
        <w:gridCol w:w="8011"/>
      </w:tblGrid>
      <w:tr w:rsidR="00A352A3" w:rsidRPr="0063600B" w14:paraId="49741E87" w14:textId="77777777" w:rsidTr="00A352A3">
        <w:tc>
          <w:tcPr>
            <w:tcW w:w="345" w:type="dxa"/>
            <w:hideMark/>
          </w:tcPr>
          <w:p w14:paraId="3E315220" w14:textId="1DC714A4" w:rsidR="004F3E29" w:rsidRPr="0063600B" w:rsidRDefault="004F3E29" w:rsidP="00C97BCF">
            <w:pPr>
              <w:spacing w:before="100" w:beforeAutospacing="1" w:after="100" w:afterAutospacing="1"/>
              <w:jc w:val="center"/>
              <w:rPr>
                <w:i/>
              </w:rPr>
            </w:pPr>
            <w:bookmarkStart w:id="5" w:name="n64"/>
            <w:bookmarkEnd w:id="5"/>
            <w:r w:rsidRPr="0063600B">
              <w:rPr>
                <w:i/>
              </w:rPr>
              <w:t>де:</w:t>
            </w:r>
          </w:p>
        </w:tc>
        <w:tc>
          <w:tcPr>
            <w:tcW w:w="960" w:type="dxa"/>
            <w:hideMark/>
          </w:tcPr>
          <w:p w14:paraId="052862BB" w14:textId="77777777" w:rsidR="004F3E29" w:rsidRPr="0063600B" w:rsidRDefault="004F3E29" w:rsidP="00C97BCF">
            <w:pPr>
              <w:spacing w:before="100" w:beforeAutospacing="1" w:after="100" w:afterAutospacing="1"/>
              <w:jc w:val="center"/>
              <w:rPr>
                <w:i/>
              </w:rPr>
            </w:pPr>
            <w:r w:rsidRPr="0063600B">
              <w:rPr>
                <w:i/>
              </w:rPr>
              <w:t>ОВмрц</w:t>
            </w:r>
          </w:p>
        </w:tc>
        <w:tc>
          <w:tcPr>
            <w:tcW w:w="15" w:type="dxa"/>
            <w:hideMark/>
          </w:tcPr>
          <w:p w14:paraId="79604FE2"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7EE59AE4" w14:textId="77777777" w:rsidR="004F3E29" w:rsidRPr="0063600B" w:rsidRDefault="004F3E29" w:rsidP="001D2824">
            <w:pPr>
              <w:spacing w:before="100" w:beforeAutospacing="1" w:after="100" w:afterAutospacing="1"/>
              <w:rPr>
                <w:i/>
              </w:rPr>
            </w:pPr>
            <w:r w:rsidRPr="0063600B">
              <w:rPr>
                <w:i/>
              </w:rPr>
              <w:t>очікувана вартість, розрахована за методом порівняння ринкових цін;</w:t>
            </w:r>
          </w:p>
        </w:tc>
      </w:tr>
      <w:tr w:rsidR="00A352A3" w:rsidRPr="0063600B" w14:paraId="153AC6E9" w14:textId="77777777" w:rsidTr="00A352A3">
        <w:tc>
          <w:tcPr>
            <w:tcW w:w="345" w:type="dxa"/>
            <w:hideMark/>
          </w:tcPr>
          <w:p w14:paraId="06C40B12" w14:textId="77777777" w:rsidR="004F3E29" w:rsidRPr="0063600B" w:rsidRDefault="004F3E29" w:rsidP="00C97BCF">
            <w:pPr>
              <w:spacing w:before="100" w:beforeAutospacing="1" w:after="100" w:afterAutospacing="1"/>
              <w:jc w:val="center"/>
              <w:rPr>
                <w:i/>
              </w:rPr>
            </w:pPr>
          </w:p>
        </w:tc>
        <w:tc>
          <w:tcPr>
            <w:tcW w:w="960" w:type="dxa"/>
            <w:hideMark/>
          </w:tcPr>
          <w:p w14:paraId="29E965D7" w14:textId="77777777" w:rsidR="004F3E29" w:rsidRPr="0063600B" w:rsidRDefault="004F3E29" w:rsidP="00C97BCF">
            <w:pPr>
              <w:spacing w:before="100" w:beforeAutospacing="1" w:after="100" w:afterAutospacing="1"/>
              <w:jc w:val="center"/>
              <w:rPr>
                <w:i/>
              </w:rPr>
            </w:pPr>
            <w:r w:rsidRPr="0063600B">
              <w:rPr>
                <w:i/>
              </w:rPr>
              <w:t>Цод</w:t>
            </w:r>
          </w:p>
        </w:tc>
        <w:tc>
          <w:tcPr>
            <w:tcW w:w="15" w:type="dxa"/>
            <w:hideMark/>
          </w:tcPr>
          <w:p w14:paraId="79F4BAB3"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3CAB5DD0" w14:textId="060B78D6" w:rsidR="004F3E29" w:rsidRPr="0063600B" w:rsidRDefault="004F3E29" w:rsidP="001D2824">
            <w:pPr>
              <w:spacing w:before="100" w:beforeAutospacing="1" w:after="100" w:afterAutospacing="1"/>
              <w:rPr>
                <w:i/>
              </w:rPr>
            </w:pPr>
            <w:r w:rsidRPr="0063600B">
              <w:rPr>
                <w:i/>
              </w:rPr>
              <w:t>о</w:t>
            </w:r>
            <w:r w:rsidR="00C97BCF" w:rsidRPr="0063600B">
              <w:rPr>
                <w:i/>
              </w:rPr>
              <w:t>чікувана ціна за одиницю товару, робіт та послуг</w:t>
            </w:r>
            <w:r w:rsidRPr="0063600B">
              <w:rPr>
                <w:i/>
              </w:rPr>
              <w:t>;</w:t>
            </w:r>
          </w:p>
        </w:tc>
      </w:tr>
      <w:tr w:rsidR="00A352A3" w:rsidRPr="0063600B" w14:paraId="5D708BB7" w14:textId="77777777" w:rsidTr="00A352A3">
        <w:tc>
          <w:tcPr>
            <w:tcW w:w="345" w:type="dxa"/>
            <w:hideMark/>
          </w:tcPr>
          <w:p w14:paraId="0AEDA407" w14:textId="77777777" w:rsidR="004F3E29" w:rsidRPr="0063600B" w:rsidRDefault="004F3E29" w:rsidP="00C97BCF">
            <w:pPr>
              <w:spacing w:before="100" w:beforeAutospacing="1" w:after="100" w:afterAutospacing="1"/>
              <w:jc w:val="center"/>
              <w:rPr>
                <w:i/>
              </w:rPr>
            </w:pPr>
          </w:p>
        </w:tc>
        <w:tc>
          <w:tcPr>
            <w:tcW w:w="960" w:type="dxa"/>
            <w:hideMark/>
          </w:tcPr>
          <w:p w14:paraId="59BA49AD" w14:textId="77777777" w:rsidR="004F3E29" w:rsidRPr="0063600B" w:rsidRDefault="004F3E29" w:rsidP="00C97BCF">
            <w:pPr>
              <w:spacing w:before="100" w:beforeAutospacing="1" w:after="100" w:afterAutospacing="1"/>
              <w:jc w:val="center"/>
              <w:rPr>
                <w:i/>
              </w:rPr>
            </w:pPr>
            <w:r w:rsidRPr="0063600B">
              <w:rPr>
                <w:i/>
              </w:rPr>
              <w:t>V</w:t>
            </w:r>
          </w:p>
        </w:tc>
        <w:tc>
          <w:tcPr>
            <w:tcW w:w="15" w:type="dxa"/>
            <w:hideMark/>
          </w:tcPr>
          <w:p w14:paraId="5AA96755"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2FEE20E4" w14:textId="7718FA1E" w:rsidR="004F3E29" w:rsidRPr="0063600B" w:rsidRDefault="00C97BCF" w:rsidP="001D2824">
            <w:pPr>
              <w:spacing w:before="100" w:beforeAutospacing="1" w:after="100" w:afterAutospacing="1"/>
              <w:rPr>
                <w:i/>
              </w:rPr>
            </w:pPr>
            <w:r w:rsidRPr="0063600B">
              <w:rPr>
                <w:i/>
              </w:rPr>
              <w:t>кількість (обсяг) товару, робіт та послуг, що закуповуються</w:t>
            </w:r>
            <w:r w:rsidR="004F3E29" w:rsidRPr="0063600B">
              <w:rPr>
                <w:i/>
              </w:rPr>
              <w:t>.</w:t>
            </w:r>
          </w:p>
        </w:tc>
      </w:tr>
    </w:tbl>
    <w:p w14:paraId="094C5C6E" w14:textId="77777777" w:rsidR="003C6ADB" w:rsidRPr="003C6ADB" w:rsidRDefault="003C6ADB" w:rsidP="002F51EB">
      <w:pPr>
        <w:jc w:val="both"/>
        <w:rPr>
          <w:i/>
        </w:rPr>
      </w:pPr>
      <w:r w:rsidRPr="003C6ADB">
        <w:rPr>
          <w:i/>
        </w:rPr>
        <w:t>2. Розрахунок очікуваної вартості товарів/послуг на підставі закупівельних цін попередніх закупівель.</w:t>
      </w:r>
    </w:p>
    <w:p w14:paraId="1B04E430" w14:textId="133473F6" w:rsidR="003C6ADB" w:rsidRPr="00D51227" w:rsidRDefault="002F51EB" w:rsidP="002F51EB">
      <w:pPr>
        <w:jc w:val="both"/>
        <w:rPr>
          <w:i/>
        </w:rPr>
      </w:pPr>
      <w:bookmarkStart w:id="6" w:name="n66"/>
      <w:bookmarkEnd w:id="6"/>
      <w:r w:rsidRPr="0063600B">
        <w:rPr>
          <w:i/>
        </w:rPr>
        <w:t xml:space="preserve">       </w:t>
      </w:r>
      <w:r w:rsidR="003C6ADB" w:rsidRPr="00D51227">
        <w:rPr>
          <w:i/>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w:t>
      </w:r>
      <w:r w:rsidR="003C6ADB" w:rsidRPr="003C6ADB">
        <w:rPr>
          <w:i/>
        </w:rPr>
        <w:t>Prozorro</w:t>
      </w:r>
      <w:r w:rsidR="003C6ADB" w:rsidRPr="00D51227">
        <w:rPr>
          <w:i/>
        </w:rPr>
        <w:t xml:space="preserve">", </w:t>
      </w:r>
      <w:r w:rsidRPr="0063600B">
        <w:rPr>
          <w:i/>
        </w:rPr>
        <w:t xml:space="preserve">ресурсу </w:t>
      </w:r>
      <w:r w:rsidRPr="0063600B">
        <w:rPr>
          <w:i/>
          <w:lang w:val="en-US"/>
        </w:rPr>
        <w:t>CPV</w:t>
      </w:r>
      <w:r w:rsidRPr="00D51227">
        <w:rPr>
          <w:i/>
        </w:rPr>
        <w:t>-</w:t>
      </w:r>
      <w:r w:rsidRPr="0063600B">
        <w:rPr>
          <w:i/>
          <w:lang w:val="en-US"/>
        </w:rPr>
        <w:t>tool</w:t>
      </w:r>
      <w:r w:rsidRPr="00D51227">
        <w:rPr>
          <w:i/>
        </w:rPr>
        <w:t xml:space="preserve"> </w:t>
      </w:r>
      <w:r w:rsidRPr="00D51227">
        <w:rPr>
          <w:rStyle w:val="muitypography-root"/>
          <w:i/>
        </w:rPr>
        <w:t>Центр</w:t>
      </w:r>
      <w:r w:rsidRPr="0063600B">
        <w:rPr>
          <w:rStyle w:val="muitypography-root"/>
          <w:i/>
        </w:rPr>
        <w:t>у</w:t>
      </w:r>
      <w:r w:rsidRPr="00D51227">
        <w:rPr>
          <w:rStyle w:val="muitypography-root"/>
          <w:i/>
        </w:rPr>
        <w:t xml:space="preserve"> вдосконалення закупівель </w:t>
      </w:r>
      <w:r w:rsidRPr="0063600B">
        <w:rPr>
          <w:rStyle w:val="muitypography-root"/>
          <w:i/>
        </w:rPr>
        <w:t>Kyiv</w:t>
      </w:r>
      <w:r w:rsidRPr="00D51227">
        <w:rPr>
          <w:rStyle w:val="muitypography-root"/>
          <w:i/>
        </w:rPr>
        <w:t xml:space="preserve"> </w:t>
      </w:r>
      <w:r w:rsidRPr="0063600B">
        <w:rPr>
          <w:rStyle w:val="muitypography-root"/>
          <w:i/>
        </w:rPr>
        <w:t>School</w:t>
      </w:r>
      <w:r w:rsidRPr="00D51227">
        <w:rPr>
          <w:rStyle w:val="muitypography-root"/>
          <w:i/>
        </w:rPr>
        <w:t xml:space="preserve"> </w:t>
      </w:r>
      <w:r w:rsidRPr="0063600B">
        <w:rPr>
          <w:rStyle w:val="muitypography-root"/>
          <w:i/>
        </w:rPr>
        <w:t>of</w:t>
      </w:r>
      <w:r w:rsidRPr="00D51227">
        <w:rPr>
          <w:rStyle w:val="muitypography-root"/>
          <w:i/>
        </w:rPr>
        <w:t xml:space="preserve"> </w:t>
      </w:r>
      <w:r w:rsidRPr="0063600B">
        <w:rPr>
          <w:rStyle w:val="muitypography-root"/>
          <w:i/>
        </w:rPr>
        <w:t>Economics,</w:t>
      </w:r>
      <w:r w:rsidRPr="0063600B">
        <w:rPr>
          <w:rStyle w:val="muitypography-root"/>
        </w:rPr>
        <w:t xml:space="preserve"> </w:t>
      </w:r>
      <w:r w:rsidR="003C6ADB" w:rsidRPr="00D51227">
        <w:rPr>
          <w:i/>
        </w:rPr>
        <w:t>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D51227" w:rsidRDefault="002F51EB" w:rsidP="002F51EB">
      <w:pPr>
        <w:jc w:val="both"/>
        <w:rPr>
          <w:i/>
        </w:rPr>
      </w:pPr>
      <w:bookmarkStart w:id="7" w:name="n68"/>
      <w:bookmarkEnd w:id="7"/>
      <w:r w:rsidRPr="0063600B">
        <w:rPr>
          <w:i/>
        </w:rPr>
        <w:t xml:space="preserve">       </w:t>
      </w:r>
      <w:r w:rsidR="003C6ADB" w:rsidRPr="00D51227">
        <w:rPr>
          <w:i/>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3C6ADB" w:rsidRDefault="002F51EB" w:rsidP="002F51EB">
      <w:pPr>
        <w:jc w:val="both"/>
        <w:rPr>
          <w:i/>
        </w:rPr>
      </w:pPr>
      <w:bookmarkStart w:id="8" w:name="n69"/>
      <w:bookmarkEnd w:id="8"/>
      <w:r w:rsidRPr="0063600B">
        <w:rPr>
          <w:i/>
        </w:rPr>
        <w:t xml:space="preserve">       </w:t>
      </w:r>
      <w:r w:rsidR="003C6ADB" w:rsidRPr="003C6ADB">
        <w:rPr>
          <w:i/>
        </w:rPr>
        <w:t xml:space="preserve">Коефіцієнти індексації розраховуються щодо кожного джерела інформації про ціни. </w:t>
      </w:r>
      <w:r w:rsidRPr="0063600B">
        <w:rPr>
          <w:i/>
        </w:rPr>
        <w:t xml:space="preserve">  </w:t>
      </w:r>
      <w:r w:rsidR="003C6ADB" w:rsidRPr="003C6ADB">
        <w:rPr>
          <w:i/>
        </w:rPr>
        <w:t>В подальших розрахунках очікуваної вартості використовується мінімальний коефіцієнт індексації.</w:t>
      </w:r>
    </w:p>
    <w:p w14:paraId="67A0EBE5" w14:textId="58132EBA" w:rsidR="003C6ADB" w:rsidRPr="003C6ADB" w:rsidRDefault="0063600B" w:rsidP="002F51EB">
      <w:pPr>
        <w:jc w:val="both"/>
        <w:rPr>
          <w:i/>
        </w:rPr>
      </w:pPr>
      <w:bookmarkStart w:id="9" w:name="n70"/>
      <w:bookmarkEnd w:id="9"/>
      <w:r w:rsidRPr="0063600B">
        <w:rPr>
          <w:i/>
        </w:rPr>
        <w:t xml:space="preserve">       </w:t>
      </w:r>
      <w:r w:rsidR="003C6ADB" w:rsidRPr="003C6ADB">
        <w:rPr>
          <w:i/>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3C6ADB" w:rsidRDefault="003C6ADB" w:rsidP="002F51EB">
      <w:pPr>
        <w:jc w:val="center"/>
        <w:rPr>
          <w:i/>
          <w:lang w:val="en-US"/>
        </w:rPr>
      </w:pPr>
      <w:bookmarkStart w:id="10" w:name="n71"/>
      <w:bookmarkEnd w:id="10"/>
      <w:r w:rsidRPr="0063600B">
        <w:rPr>
          <w:i/>
        </w:rPr>
        <w:t>ОВ</w:t>
      </w:r>
      <w:r w:rsidRPr="0063600B">
        <w:rPr>
          <w:i/>
          <w:lang w:val="en-US"/>
        </w:rPr>
        <w:t xml:space="preserve"> i</w:t>
      </w:r>
      <w:r w:rsidRPr="003C6ADB">
        <w:rPr>
          <w:i/>
          <w:lang w:val="en-US"/>
        </w:rPr>
        <w:t xml:space="preserve"> </w:t>
      </w:r>
      <w:r w:rsidRPr="0063600B">
        <w:rPr>
          <w:i/>
          <w:lang w:val="en-US"/>
        </w:rPr>
        <w:t xml:space="preserve">= V * </w:t>
      </w:r>
      <w:r w:rsidRPr="0063600B">
        <w:rPr>
          <w:i/>
        </w:rPr>
        <w:t>Ц</w:t>
      </w:r>
      <w:r w:rsidRPr="0063600B">
        <w:rPr>
          <w:i/>
          <w:lang w:val="en-US"/>
        </w:rPr>
        <w:t xml:space="preserve"> </w:t>
      </w:r>
      <w:r w:rsidRPr="0063600B">
        <w:rPr>
          <w:i/>
        </w:rPr>
        <w:t>м</w:t>
      </w:r>
      <w:r w:rsidRPr="0063600B">
        <w:rPr>
          <w:i/>
          <w:lang w:val="en-US"/>
        </w:rPr>
        <w:t>.</w:t>
      </w:r>
      <w:r w:rsidRPr="0063600B">
        <w:rPr>
          <w:i/>
        </w:rPr>
        <w:t>п</w:t>
      </w:r>
      <w:r w:rsidRPr="0063600B">
        <w:rPr>
          <w:i/>
          <w:lang w:val="en-US"/>
        </w:rPr>
        <w:t xml:space="preserve">. </w:t>
      </w:r>
      <w:r w:rsidRPr="0063600B">
        <w:rPr>
          <w:i/>
        </w:rPr>
        <w:t>х</w:t>
      </w:r>
      <w:r w:rsidRPr="0063600B">
        <w:rPr>
          <w:i/>
          <w:lang w:val="en-US"/>
        </w:rPr>
        <w:t xml:space="preserve"> k i</w:t>
      </w:r>
      <w:r w:rsidRPr="003C6ADB">
        <w:rPr>
          <w:i/>
          <w:lang w:val="en-US"/>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782"/>
        <w:gridCol w:w="110"/>
        <w:gridCol w:w="8089"/>
      </w:tblGrid>
      <w:tr w:rsidR="003C6ADB" w:rsidRPr="003C6ADB" w14:paraId="3F464405" w14:textId="77777777" w:rsidTr="003C6ADB">
        <w:tc>
          <w:tcPr>
            <w:tcW w:w="390" w:type="dxa"/>
            <w:tcBorders>
              <w:top w:val="nil"/>
              <w:left w:val="nil"/>
              <w:bottom w:val="nil"/>
              <w:right w:val="nil"/>
            </w:tcBorders>
            <w:hideMark/>
          </w:tcPr>
          <w:p w14:paraId="7C4D3C5C" w14:textId="77777777" w:rsidR="003C6ADB" w:rsidRPr="003C6ADB" w:rsidRDefault="003C6ADB" w:rsidP="002F51EB">
            <w:pPr>
              <w:jc w:val="both"/>
              <w:rPr>
                <w:i/>
              </w:rPr>
            </w:pPr>
            <w:bookmarkStart w:id="11" w:name="n72"/>
            <w:bookmarkEnd w:id="11"/>
            <w:r w:rsidRPr="003C6ADB">
              <w:rPr>
                <w:i/>
              </w:rPr>
              <w:t>де:</w:t>
            </w:r>
          </w:p>
        </w:tc>
        <w:tc>
          <w:tcPr>
            <w:tcW w:w="945" w:type="dxa"/>
            <w:tcBorders>
              <w:top w:val="nil"/>
              <w:left w:val="nil"/>
              <w:bottom w:val="nil"/>
              <w:right w:val="nil"/>
            </w:tcBorders>
            <w:hideMark/>
          </w:tcPr>
          <w:p w14:paraId="3A118285" w14:textId="77777777" w:rsidR="003C6ADB" w:rsidRPr="003C6ADB" w:rsidRDefault="003C6ADB" w:rsidP="002F51EB">
            <w:pPr>
              <w:jc w:val="both"/>
              <w:rPr>
                <w:i/>
              </w:rPr>
            </w:pPr>
            <w:r w:rsidRPr="0063600B">
              <w:rPr>
                <w:i/>
              </w:rPr>
              <w:t>ОВi</w:t>
            </w:r>
          </w:p>
        </w:tc>
        <w:tc>
          <w:tcPr>
            <w:tcW w:w="15" w:type="dxa"/>
            <w:tcBorders>
              <w:top w:val="nil"/>
              <w:left w:val="nil"/>
              <w:bottom w:val="nil"/>
              <w:right w:val="nil"/>
            </w:tcBorders>
            <w:hideMark/>
          </w:tcPr>
          <w:p w14:paraId="4CC8EDC6"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5356AD61" w14:textId="77777777" w:rsidR="003C6ADB" w:rsidRPr="003C6ADB" w:rsidRDefault="003C6ADB" w:rsidP="002F51EB">
            <w:pPr>
              <w:jc w:val="both"/>
              <w:rPr>
                <w:i/>
              </w:rPr>
            </w:pPr>
            <w:r w:rsidRPr="003C6ADB">
              <w:rPr>
                <w:i/>
              </w:rPr>
              <w:t>очікувана вартість на підставі закупівельних цін минулих періодів;</w:t>
            </w:r>
          </w:p>
        </w:tc>
      </w:tr>
      <w:tr w:rsidR="003C6ADB" w:rsidRPr="003C6ADB" w14:paraId="696FF79A" w14:textId="77777777" w:rsidTr="003C6ADB">
        <w:tc>
          <w:tcPr>
            <w:tcW w:w="390" w:type="dxa"/>
            <w:tcBorders>
              <w:top w:val="nil"/>
              <w:left w:val="nil"/>
              <w:bottom w:val="nil"/>
              <w:right w:val="nil"/>
            </w:tcBorders>
            <w:hideMark/>
          </w:tcPr>
          <w:p w14:paraId="05AC4F3C" w14:textId="77777777" w:rsidR="003C6ADB" w:rsidRPr="003C6ADB" w:rsidRDefault="003C6ADB" w:rsidP="002F51EB">
            <w:pPr>
              <w:jc w:val="both"/>
              <w:rPr>
                <w:i/>
              </w:rPr>
            </w:pPr>
          </w:p>
        </w:tc>
        <w:tc>
          <w:tcPr>
            <w:tcW w:w="945" w:type="dxa"/>
            <w:tcBorders>
              <w:top w:val="nil"/>
              <w:left w:val="nil"/>
              <w:bottom w:val="nil"/>
              <w:right w:val="nil"/>
            </w:tcBorders>
            <w:hideMark/>
          </w:tcPr>
          <w:p w14:paraId="3E6854FD" w14:textId="77777777" w:rsidR="003C6ADB" w:rsidRPr="003C6ADB" w:rsidRDefault="003C6ADB" w:rsidP="002F51EB">
            <w:pPr>
              <w:jc w:val="both"/>
              <w:rPr>
                <w:i/>
              </w:rPr>
            </w:pPr>
            <w:r w:rsidRPr="0063600B">
              <w:rPr>
                <w:i/>
              </w:rPr>
              <w:t>V</w:t>
            </w:r>
          </w:p>
        </w:tc>
        <w:tc>
          <w:tcPr>
            <w:tcW w:w="15" w:type="dxa"/>
            <w:tcBorders>
              <w:top w:val="nil"/>
              <w:left w:val="nil"/>
              <w:bottom w:val="nil"/>
              <w:right w:val="nil"/>
            </w:tcBorders>
            <w:hideMark/>
          </w:tcPr>
          <w:p w14:paraId="43913D7C"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35F09424" w14:textId="77777777" w:rsidR="003C6ADB" w:rsidRPr="003C6ADB" w:rsidRDefault="003C6ADB" w:rsidP="002F51EB">
            <w:pPr>
              <w:jc w:val="both"/>
              <w:rPr>
                <w:i/>
              </w:rPr>
            </w:pPr>
            <w:r w:rsidRPr="003C6ADB">
              <w:rPr>
                <w:i/>
              </w:rPr>
              <w:t>обсяг товарів/послуг, що закуповується;</w:t>
            </w:r>
          </w:p>
        </w:tc>
      </w:tr>
      <w:tr w:rsidR="003C6ADB" w:rsidRPr="003C6ADB" w14:paraId="2E9BC5B1" w14:textId="77777777" w:rsidTr="003C6ADB">
        <w:tc>
          <w:tcPr>
            <w:tcW w:w="390" w:type="dxa"/>
            <w:tcBorders>
              <w:top w:val="nil"/>
              <w:left w:val="nil"/>
              <w:bottom w:val="nil"/>
              <w:right w:val="nil"/>
            </w:tcBorders>
            <w:hideMark/>
          </w:tcPr>
          <w:p w14:paraId="077AB693" w14:textId="77777777" w:rsidR="003C6ADB" w:rsidRPr="003C6ADB" w:rsidRDefault="003C6ADB" w:rsidP="002F51EB">
            <w:pPr>
              <w:jc w:val="both"/>
              <w:rPr>
                <w:i/>
              </w:rPr>
            </w:pPr>
          </w:p>
        </w:tc>
        <w:tc>
          <w:tcPr>
            <w:tcW w:w="945" w:type="dxa"/>
            <w:tcBorders>
              <w:top w:val="nil"/>
              <w:left w:val="nil"/>
              <w:bottom w:val="nil"/>
              <w:right w:val="nil"/>
            </w:tcBorders>
            <w:hideMark/>
          </w:tcPr>
          <w:p w14:paraId="09BAE0E6" w14:textId="5CC3F700" w:rsidR="003C6ADB" w:rsidRPr="003C6ADB" w:rsidRDefault="003C6ADB" w:rsidP="002F51EB">
            <w:pPr>
              <w:jc w:val="both"/>
              <w:rPr>
                <w:i/>
              </w:rPr>
            </w:pPr>
            <w:r w:rsidRPr="0063600B">
              <w:rPr>
                <w:i/>
              </w:rPr>
              <w:t>Ц</w:t>
            </w:r>
            <w:r w:rsidR="002F51EB" w:rsidRPr="0063600B">
              <w:rPr>
                <w:i/>
              </w:rPr>
              <w:t xml:space="preserve"> </w:t>
            </w:r>
            <w:r w:rsidRPr="0063600B">
              <w:rPr>
                <w:i/>
              </w:rPr>
              <w:t>м.п.</w:t>
            </w:r>
          </w:p>
        </w:tc>
        <w:tc>
          <w:tcPr>
            <w:tcW w:w="15" w:type="dxa"/>
            <w:tcBorders>
              <w:top w:val="nil"/>
              <w:left w:val="nil"/>
              <w:bottom w:val="nil"/>
              <w:right w:val="nil"/>
            </w:tcBorders>
            <w:hideMark/>
          </w:tcPr>
          <w:p w14:paraId="61529392"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37F434D6" w14:textId="77777777" w:rsidR="003C6ADB" w:rsidRPr="003C6ADB" w:rsidRDefault="003C6ADB" w:rsidP="002F51EB">
            <w:pPr>
              <w:jc w:val="both"/>
              <w:rPr>
                <w:i/>
              </w:rPr>
            </w:pPr>
            <w:r w:rsidRPr="003C6ADB">
              <w:rPr>
                <w:i/>
              </w:rPr>
              <w:t>ціна минулого періоду;</w:t>
            </w:r>
          </w:p>
        </w:tc>
      </w:tr>
      <w:tr w:rsidR="003C6ADB" w:rsidRPr="003C6ADB" w14:paraId="07980E4D" w14:textId="77777777" w:rsidTr="003C6ADB">
        <w:tc>
          <w:tcPr>
            <w:tcW w:w="390" w:type="dxa"/>
            <w:tcBorders>
              <w:top w:val="nil"/>
              <w:left w:val="nil"/>
              <w:bottom w:val="nil"/>
              <w:right w:val="nil"/>
            </w:tcBorders>
            <w:hideMark/>
          </w:tcPr>
          <w:p w14:paraId="28FBE9E0" w14:textId="77777777" w:rsidR="003C6ADB" w:rsidRPr="003C6ADB" w:rsidRDefault="003C6ADB" w:rsidP="002F51EB">
            <w:pPr>
              <w:jc w:val="both"/>
              <w:rPr>
                <w:i/>
              </w:rPr>
            </w:pPr>
          </w:p>
        </w:tc>
        <w:tc>
          <w:tcPr>
            <w:tcW w:w="945" w:type="dxa"/>
            <w:tcBorders>
              <w:top w:val="nil"/>
              <w:left w:val="nil"/>
              <w:bottom w:val="nil"/>
              <w:right w:val="nil"/>
            </w:tcBorders>
            <w:hideMark/>
          </w:tcPr>
          <w:p w14:paraId="6347F04B" w14:textId="77777777" w:rsidR="003C6ADB" w:rsidRPr="003C6ADB" w:rsidRDefault="003C6ADB" w:rsidP="002F51EB">
            <w:pPr>
              <w:jc w:val="both"/>
              <w:rPr>
                <w:i/>
              </w:rPr>
            </w:pPr>
            <w:r w:rsidRPr="0063600B">
              <w:rPr>
                <w:i/>
              </w:rPr>
              <w:t>ki</w:t>
            </w:r>
          </w:p>
        </w:tc>
        <w:tc>
          <w:tcPr>
            <w:tcW w:w="15" w:type="dxa"/>
            <w:tcBorders>
              <w:top w:val="nil"/>
              <w:left w:val="nil"/>
              <w:bottom w:val="nil"/>
              <w:right w:val="nil"/>
            </w:tcBorders>
            <w:hideMark/>
          </w:tcPr>
          <w:p w14:paraId="59DA56BE"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283EADA3" w14:textId="77777777" w:rsidR="003C6ADB" w:rsidRPr="003C6ADB" w:rsidRDefault="003C6ADB" w:rsidP="002F51EB">
            <w:pPr>
              <w:jc w:val="both"/>
              <w:rPr>
                <w:i/>
              </w:rPr>
            </w:pPr>
            <w:r w:rsidRPr="003C6ADB">
              <w:rPr>
                <w:i/>
              </w:rPr>
              <w:t>коефіцієнт індексації.</w:t>
            </w:r>
          </w:p>
        </w:tc>
      </w:tr>
    </w:tbl>
    <w:p w14:paraId="56E02F92" w14:textId="77777777" w:rsidR="004F3E29" w:rsidRPr="0063600B" w:rsidRDefault="004F3E29" w:rsidP="00D35A9F">
      <w:pPr>
        <w:jc w:val="both"/>
        <w:rPr>
          <w:i/>
        </w:rPr>
      </w:pPr>
    </w:p>
    <w:p w14:paraId="1408657F" w14:textId="77777777" w:rsidR="000B5A7C" w:rsidRPr="0063600B" w:rsidRDefault="000B5A7C" w:rsidP="00D35A9F">
      <w:pPr>
        <w:jc w:val="both"/>
        <w:rPr>
          <w:i/>
        </w:rPr>
      </w:pPr>
    </w:p>
    <w:tbl>
      <w:tblPr>
        <w:tblW w:w="9855" w:type="dxa"/>
        <w:tblInd w:w="-115" w:type="dxa"/>
        <w:tblLayout w:type="fixed"/>
        <w:tblLook w:val="0400" w:firstRow="0" w:lastRow="0" w:firstColumn="0" w:lastColumn="0" w:noHBand="0" w:noVBand="1"/>
      </w:tblPr>
      <w:tblGrid>
        <w:gridCol w:w="3660"/>
        <w:gridCol w:w="3285"/>
        <w:gridCol w:w="2910"/>
      </w:tblGrid>
      <w:tr w:rsidR="0043630F" w14:paraId="543738F1" w14:textId="77777777" w:rsidTr="00E20FC6">
        <w:trPr>
          <w:trHeight w:val="638"/>
        </w:trPr>
        <w:tc>
          <w:tcPr>
            <w:tcW w:w="3660" w:type="dxa"/>
          </w:tcPr>
          <w:p w14:paraId="22085B05" w14:textId="77777777" w:rsidR="0043630F" w:rsidRPr="001943E7" w:rsidRDefault="0043630F" w:rsidP="00E20FC6">
            <w:pPr>
              <w:shd w:val="clear" w:color="auto" w:fill="FFFFFF"/>
              <w:rPr>
                <w:b/>
              </w:rPr>
            </w:pPr>
            <w:r w:rsidRPr="001943E7">
              <w:rPr>
                <w:b/>
              </w:rPr>
              <w:t>Провідний фахівець з публічних закупівель</w:t>
            </w:r>
          </w:p>
        </w:tc>
        <w:tc>
          <w:tcPr>
            <w:tcW w:w="3285" w:type="dxa"/>
            <w:vAlign w:val="center"/>
          </w:tcPr>
          <w:p w14:paraId="35989D1E" w14:textId="77777777" w:rsidR="0043630F" w:rsidRDefault="0043630F" w:rsidP="00E20FC6">
            <w:pPr>
              <w:tabs>
                <w:tab w:val="left" w:pos="1440"/>
              </w:tabs>
              <w:jc w:val="center"/>
              <w:rPr>
                <w:sz w:val="16"/>
                <w:szCs w:val="16"/>
              </w:rPr>
            </w:pPr>
          </w:p>
          <w:p w14:paraId="3AD05A9F" w14:textId="77777777" w:rsidR="0043630F" w:rsidRDefault="0043630F" w:rsidP="00E20FC6">
            <w:pPr>
              <w:tabs>
                <w:tab w:val="left" w:pos="1440"/>
              </w:tabs>
              <w:jc w:val="center"/>
              <w:rPr>
                <w:sz w:val="16"/>
                <w:szCs w:val="16"/>
              </w:rPr>
            </w:pPr>
          </w:p>
          <w:p w14:paraId="66314D9E" w14:textId="77777777" w:rsidR="0043630F" w:rsidRPr="001943E7" w:rsidRDefault="0043630F" w:rsidP="00E20FC6">
            <w:pPr>
              <w:tabs>
                <w:tab w:val="left" w:pos="1440"/>
              </w:tabs>
              <w:jc w:val="center"/>
              <w:rPr>
                <w:sz w:val="16"/>
                <w:szCs w:val="16"/>
              </w:rPr>
            </w:pPr>
            <w:r w:rsidRPr="001943E7">
              <w:rPr>
                <w:sz w:val="16"/>
                <w:szCs w:val="16"/>
              </w:rPr>
              <w:t>________________</w:t>
            </w:r>
            <w:r>
              <w:rPr>
                <w:sz w:val="16"/>
                <w:szCs w:val="16"/>
              </w:rPr>
              <w:t>_________________</w:t>
            </w:r>
          </w:p>
          <w:p w14:paraId="0C7B87A9" w14:textId="77777777" w:rsidR="0043630F" w:rsidRPr="001943E7" w:rsidRDefault="0043630F" w:rsidP="00E20FC6">
            <w:pPr>
              <w:tabs>
                <w:tab w:val="left" w:pos="1440"/>
              </w:tabs>
              <w:jc w:val="center"/>
            </w:pPr>
          </w:p>
        </w:tc>
        <w:tc>
          <w:tcPr>
            <w:tcW w:w="2910" w:type="dxa"/>
            <w:vAlign w:val="center"/>
          </w:tcPr>
          <w:p w14:paraId="7A100907" w14:textId="77777777" w:rsidR="0043630F" w:rsidRPr="001943E7" w:rsidRDefault="0043630F" w:rsidP="00E20FC6">
            <w:pPr>
              <w:tabs>
                <w:tab w:val="left" w:pos="1440"/>
              </w:tabs>
              <w:rPr>
                <w:b/>
              </w:rPr>
            </w:pPr>
            <w:r w:rsidRPr="001943E7">
              <w:rPr>
                <w:b/>
              </w:rPr>
              <w:t xml:space="preserve"> Григорій ВЛАСЕНКО</w:t>
            </w:r>
          </w:p>
        </w:tc>
      </w:tr>
    </w:tbl>
    <w:p w14:paraId="212A8411" w14:textId="77777777" w:rsidR="000B5A7C" w:rsidRPr="0063600B" w:rsidRDefault="000B5A7C" w:rsidP="00D35A9F">
      <w:pPr>
        <w:jc w:val="both"/>
        <w:rPr>
          <w:i/>
        </w:rPr>
      </w:pPr>
    </w:p>
    <w:sectPr w:rsidR="000B5A7C" w:rsidRPr="0063600B" w:rsidSect="00D81C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C162E" w14:textId="77777777" w:rsidR="00743C50" w:rsidRDefault="00743C50" w:rsidP="00C97BCF">
      <w:r>
        <w:separator/>
      </w:r>
    </w:p>
  </w:endnote>
  <w:endnote w:type="continuationSeparator" w:id="0">
    <w:p w14:paraId="7B679408" w14:textId="77777777" w:rsidR="00743C50" w:rsidRDefault="00743C50"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3876FC">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74A1" w14:textId="77777777" w:rsidR="00743C50" w:rsidRDefault="00743C50" w:rsidP="00C97BCF">
      <w:r>
        <w:separator/>
      </w:r>
    </w:p>
  </w:footnote>
  <w:footnote w:type="continuationSeparator" w:id="0">
    <w:p w14:paraId="5D91E9CB" w14:textId="77777777" w:rsidR="00743C50" w:rsidRDefault="00743C50"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B5A7C"/>
    <w:rsid w:val="001A2A79"/>
    <w:rsid w:val="001D2824"/>
    <w:rsid w:val="002D6BBE"/>
    <w:rsid w:val="002F51EB"/>
    <w:rsid w:val="003512D1"/>
    <w:rsid w:val="00364E51"/>
    <w:rsid w:val="003876FC"/>
    <w:rsid w:val="003C6ADB"/>
    <w:rsid w:val="0043630F"/>
    <w:rsid w:val="00457779"/>
    <w:rsid w:val="0046419A"/>
    <w:rsid w:val="004F3E29"/>
    <w:rsid w:val="005807F8"/>
    <w:rsid w:val="00614DF4"/>
    <w:rsid w:val="0063600B"/>
    <w:rsid w:val="00643AA5"/>
    <w:rsid w:val="006A3DFD"/>
    <w:rsid w:val="006E5055"/>
    <w:rsid w:val="006F3689"/>
    <w:rsid w:val="007105D8"/>
    <w:rsid w:val="00743C50"/>
    <w:rsid w:val="007B52A1"/>
    <w:rsid w:val="008F04B2"/>
    <w:rsid w:val="00A352A3"/>
    <w:rsid w:val="00A503E2"/>
    <w:rsid w:val="00AA7DA7"/>
    <w:rsid w:val="00B03831"/>
    <w:rsid w:val="00B44D7D"/>
    <w:rsid w:val="00BE718D"/>
    <w:rsid w:val="00C97BCF"/>
    <w:rsid w:val="00D02B81"/>
    <w:rsid w:val="00D052CA"/>
    <w:rsid w:val="00D35A9F"/>
    <w:rsid w:val="00D51227"/>
    <w:rsid w:val="00D81CE7"/>
    <w:rsid w:val="00DF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uiPriority w:val="34"/>
    <w:qFormat/>
    <w:rsid w:val="00B03831"/>
    <w:pPr>
      <w:ind w:left="720"/>
      <w:contextualSpacing/>
    </w:pPr>
  </w:style>
  <w:style w:type="character" w:styleId="a8">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zorro.gov.ua/tender/UA-2024-01-23-00427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3</cp:revision>
  <dcterms:created xsi:type="dcterms:W3CDTF">2024-01-23T08:47:00Z</dcterms:created>
  <dcterms:modified xsi:type="dcterms:W3CDTF">2024-01-30T07:15:00Z</dcterms:modified>
</cp:coreProperties>
</file>